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3619C" w14:textId="77777777" w:rsidR="00F04190" w:rsidRPr="00C5238F" w:rsidRDefault="00F04190" w:rsidP="00F04190">
      <w:pPr>
        <w:spacing w:after="48" w:line="259" w:lineRule="auto"/>
        <w:ind w:left="0" w:right="0" w:firstLine="0"/>
        <w:jc w:val="left"/>
        <w:rPr>
          <w:rFonts w:ascii="Century Gothic" w:hAnsi="Century Gothic"/>
          <w:sz w:val="22"/>
        </w:rPr>
      </w:pPr>
    </w:p>
    <w:p w14:paraId="0AC48A79" w14:textId="77777777" w:rsidR="00F04190" w:rsidRPr="00274821" w:rsidRDefault="00F04190" w:rsidP="00F04190">
      <w:pPr>
        <w:pStyle w:val="ListParagraph"/>
        <w:numPr>
          <w:ilvl w:val="0"/>
          <w:numId w:val="1"/>
        </w:numPr>
        <w:spacing w:after="49" w:line="259" w:lineRule="auto"/>
        <w:ind w:left="1440" w:right="0" w:hanging="720"/>
        <w:jc w:val="left"/>
        <w:rPr>
          <w:rFonts w:ascii="Century Gothic" w:eastAsia="Calibri" w:hAnsi="Century Gothic" w:cs="Calibri"/>
          <w:b/>
          <w:sz w:val="26"/>
          <w:szCs w:val="26"/>
        </w:rPr>
      </w:pPr>
      <w:r w:rsidRPr="00274821">
        <w:rPr>
          <w:rFonts w:ascii="Century Gothic" w:eastAsia="Calibri" w:hAnsi="Century Gothic" w:cs="Calibri"/>
          <w:b/>
          <w:sz w:val="26"/>
          <w:szCs w:val="26"/>
        </w:rPr>
        <w:t xml:space="preserve">Travel </w:t>
      </w:r>
    </w:p>
    <w:p w14:paraId="3100ED8B" w14:textId="77777777" w:rsidR="00F04190" w:rsidRPr="00C5238F" w:rsidRDefault="00F04190" w:rsidP="00F04190">
      <w:pPr>
        <w:spacing w:after="17" w:line="259" w:lineRule="auto"/>
        <w:ind w:left="0" w:right="0" w:firstLine="0"/>
        <w:jc w:val="left"/>
        <w:rPr>
          <w:rFonts w:ascii="Century Gothic" w:hAnsi="Century Gothic"/>
          <w:sz w:val="22"/>
        </w:rPr>
      </w:pPr>
      <w:r w:rsidRPr="00C5238F">
        <w:rPr>
          <w:rFonts w:ascii="Century Gothic" w:hAnsi="Century Gothic"/>
          <w:sz w:val="22"/>
        </w:rPr>
        <w:t xml:space="preserve"> </w:t>
      </w:r>
    </w:p>
    <w:p w14:paraId="0BA5C012" w14:textId="77777777" w:rsidR="00F04190" w:rsidRPr="00C5238F" w:rsidRDefault="00F04190" w:rsidP="00F04190">
      <w:pPr>
        <w:ind w:left="1440" w:right="0"/>
        <w:rPr>
          <w:rFonts w:ascii="Century Gothic" w:hAnsi="Century Gothic"/>
          <w:sz w:val="22"/>
        </w:rPr>
      </w:pPr>
      <w:r w:rsidRPr="00C5238F">
        <w:rPr>
          <w:rFonts w:ascii="Century Gothic" w:hAnsi="Century Gothic"/>
          <w:sz w:val="22"/>
        </w:rPr>
        <w:t xml:space="preserve">Due to the nature of our business, travel is required.  Therefore, the following parameters are guidelines to follow.  For any deviation or clarification, see the partner-in-charge. </w:t>
      </w:r>
    </w:p>
    <w:p w14:paraId="70C62C75" w14:textId="77777777" w:rsidR="00F04190" w:rsidRPr="00C5238F" w:rsidRDefault="00F04190" w:rsidP="00F04190">
      <w:pPr>
        <w:spacing w:after="0" w:line="259" w:lineRule="auto"/>
        <w:ind w:left="1440" w:right="0" w:firstLine="0"/>
        <w:jc w:val="left"/>
        <w:rPr>
          <w:rFonts w:ascii="Century Gothic" w:hAnsi="Century Gothic"/>
          <w:sz w:val="22"/>
        </w:rPr>
      </w:pPr>
      <w:r w:rsidRPr="00C5238F">
        <w:rPr>
          <w:rFonts w:ascii="Century Gothic" w:hAnsi="Century Gothic"/>
          <w:sz w:val="22"/>
        </w:rPr>
        <w:t xml:space="preserve"> </w:t>
      </w:r>
    </w:p>
    <w:p w14:paraId="7DA46E00" w14:textId="77777777" w:rsidR="00F04190" w:rsidRPr="00C5238F" w:rsidRDefault="00F04190" w:rsidP="00F04190">
      <w:pPr>
        <w:ind w:left="1440" w:right="0"/>
        <w:rPr>
          <w:rFonts w:ascii="Century Gothic" w:hAnsi="Century Gothic"/>
          <w:sz w:val="22"/>
        </w:rPr>
      </w:pPr>
      <w:r w:rsidRPr="00C5238F">
        <w:rPr>
          <w:rFonts w:ascii="Century Gothic" w:hAnsi="Century Gothic"/>
          <w:sz w:val="22"/>
        </w:rPr>
        <w:t xml:space="preserve">The firm uses Accountable and Non-Accountable Plans regarding travel expense reimbursement. </w:t>
      </w:r>
    </w:p>
    <w:p w14:paraId="281CEC9D" w14:textId="77777777" w:rsidR="00F04190" w:rsidRPr="00C5238F" w:rsidRDefault="00F04190" w:rsidP="00F04190">
      <w:pPr>
        <w:spacing w:after="40" w:line="259" w:lineRule="auto"/>
        <w:ind w:left="1440" w:right="0" w:firstLine="0"/>
        <w:jc w:val="left"/>
        <w:rPr>
          <w:rFonts w:ascii="Century Gothic" w:hAnsi="Century Gothic"/>
          <w:sz w:val="22"/>
        </w:rPr>
      </w:pPr>
      <w:r w:rsidRPr="00C5238F">
        <w:rPr>
          <w:rFonts w:ascii="Century Gothic" w:hAnsi="Century Gothic"/>
          <w:sz w:val="22"/>
        </w:rPr>
        <w:t xml:space="preserve"> </w:t>
      </w:r>
    </w:p>
    <w:p w14:paraId="78AE0B30" w14:textId="77777777" w:rsidR="00F04190" w:rsidRPr="00C5238F" w:rsidRDefault="00F04190" w:rsidP="00F04190">
      <w:pPr>
        <w:ind w:left="1440" w:right="0"/>
        <w:rPr>
          <w:rFonts w:ascii="Century Gothic" w:hAnsi="Century Gothic"/>
          <w:sz w:val="22"/>
        </w:rPr>
      </w:pPr>
      <w:r w:rsidRPr="00B27FE6">
        <w:rPr>
          <w:rFonts w:ascii="Century Gothic" w:hAnsi="Century Gothic"/>
          <w:b/>
          <w:i/>
          <w:sz w:val="22"/>
        </w:rPr>
        <w:t>Accountable Plan</w:t>
      </w:r>
      <w:r w:rsidRPr="00C5238F">
        <w:rPr>
          <w:rFonts w:ascii="Century Gothic" w:hAnsi="Century Gothic"/>
          <w:sz w:val="22"/>
        </w:rPr>
        <w:t xml:space="preserve"> – Definition: Employee reimbursement allowance arrangement or a method for reimbursing employees for business travel expenses that complies with IRS regulations in which substantiation and documentation of expense is required. </w:t>
      </w:r>
    </w:p>
    <w:p w14:paraId="47F02D91" w14:textId="77777777" w:rsidR="00F04190" w:rsidRPr="00C5238F" w:rsidRDefault="00F04190" w:rsidP="00F04190">
      <w:pPr>
        <w:spacing w:after="0" w:line="259" w:lineRule="auto"/>
        <w:ind w:left="1440" w:right="0" w:firstLine="0"/>
        <w:jc w:val="left"/>
        <w:rPr>
          <w:rFonts w:ascii="Century Gothic" w:hAnsi="Century Gothic"/>
          <w:sz w:val="22"/>
        </w:rPr>
      </w:pPr>
      <w:r w:rsidRPr="00C5238F">
        <w:rPr>
          <w:rFonts w:ascii="Century Gothic" w:hAnsi="Century Gothic"/>
          <w:b/>
          <w:sz w:val="22"/>
        </w:rPr>
        <w:t xml:space="preserve"> </w:t>
      </w:r>
    </w:p>
    <w:p w14:paraId="6410FAB3" w14:textId="293CB0BD" w:rsidR="00F04190" w:rsidRPr="00C5238F" w:rsidRDefault="00F04190" w:rsidP="00F04190">
      <w:pPr>
        <w:ind w:left="1440" w:right="0"/>
        <w:rPr>
          <w:rFonts w:ascii="Century Gothic" w:hAnsi="Century Gothic"/>
          <w:sz w:val="22"/>
        </w:rPr>
      </w:pPr>
      <w:r w:rsidRPr="00B27FE6">
        <w:rPr>
          <w:rFonts w:ascii="Century Gothic" w:hAnsi="Century Gothic"/>
          <w:b/>
          <w:i/>
          <w:sz w:val="22"/>
        </w:rPr>
        <w:t>Non-Accountable Plan</w:t>
      </w:r>
      <w:r w:rsidR="00E47BF4">
        <w:rPr>
          <w:rFonts w:ascii="Century Gothic" w:hAnsi="Century Gothic"/>
          <w:b/>
          <w:i/>
          <w:sz w:val="22"/>
        </w:rPr>
        <w:t xml:space="preserve"> (per diem)</w:t>
      </w:r>
      <w:r w:rsidRPr="00C5238F">
        <w:rPr>
          <w:rFonts w:ascii="Century Gothic" w:hAnsi="Century Gothic"/>
          <w:sz w:val="22"/>
        </w:rPr>
        <w:t xml:space="preserve"> – Definition:  A system under which a business provides payment to its employees to cover business expenses, but under which the employee does not have to substantiate the expense. </w:t>
      </w:r>
    </w:p>
    <w:p w14:paraId="7A6E9BDC" w14:textId="77777777" w:rsidR="00F04190" w:rsidRPr="00C5238F" w:rsidRDefault="00F04190" w:rsidP="00F04190">
      <w:pPr>
        <w:spacing w:after="0" w:line="259" w:lineRule="auto"/>
        <w:ind w:left="1440" w:right="0" w:firstLine="0"/>
        <w:jc w:val="left"/>
        <w:rPr>
          <w:rFonts w:ascii="Century Gothic" w:hAnsi="Century Gothic"/>
          <w:sz w:val="22"/>
        </w:rPr>
      </w:pPr>
      <w:r w:rsidRPr="00C5238F">
        <w:rPr>
          <w:rFonts w:ascii="Century Gothic" w:hAnsi="Century Gothic"/>
          <w:sz w:val="22"/>
        </w:rPr>
        <w:t xml:space="preserve"> </w:t>
      </w:r>
    </w:p>
    <w:p w14:paraId="005E4A46" w14:textId="77777777" w:rsidR="00F04190" w:rsidRPr="00B27FE6" w:rsidRDefault="00F04190" w:rsidP="00F04190">
      <w:pPr>
        <w:spacing w:line="259" w:lineRule="auto"/>
        <w:ind w:left="1440" w:right="0" w:firstLine="0"/>
        <w:jc w:val="left"/>
        <w:rPr>
          <w:rFonts w:ascii="Century Gothic" w:hAnsi="Century Gothic"/>
          <w:sz w:val="22"/>
        </w:rPr>
      </w:pPr>
      <w:r w:rsidRPr="00B27FE6">
        <w:rPr>
          <w:rFonts w:ascii="Century Gothic" w:hAnsi="Century Gothic"/>
          <w:b/>
          <w:sz w:val="22"/>
        </w:rPr>
        <w:t xml:space="preserve">Meals </w:t>
      </w:r>
    </w:p>
    <w:p w14:paraId="3C5422F1" w14:textId="77777777" w:rsidR="00F04190" w:rsidRPr="00C5238F" w:rsidRDefault="00F04190" w:rsidP="00F04190">
      <w:pPr>
        <w:spacing w:after="38" w:line="259" w:lineRule="auto"/>
        <w:ind w:left="1440" w:right="0" w:firstLine="0"/>
        <w:jc w:val="left"/>
        <w:rPr>
          <w:rFonts w:ascii="Century Gothic" w:hAnsi="Century Gothic"/>
          <w:sz w:val="22"/>
        </w:rPr>
      </w:pPr>
      <w:r w:rsidRPr="00C5238F">
        <w:rPr>
          <w:rFonts w:ascii="Century Gothic" w:hAnsi="Century Gothic"/>
          <w:sz w:val="22"/>
        </w:rPr>
        <w:t xml:space="preserve"> </w:t>
      </w:r>
    </w:p>
    <w:p w14:paraId="02CD4448" w14:textId="65C0347E" w:rsidR="00F04190" w:rsidRPr="00C5238F" w:rsidRDefault="00F04190" w:rsidP="00F04190">
      <w:pPr>
        <w:ind w:left="1440" w:right="0"/>
        <w:rPr>
          <w:rFonts w:ascii="Century Gothic" w:hAnsi="Century Gothic"/>
          <w:sz w:val="22"/>
        </w:rPr>
      </w:pPr>
      <w:r w:rsidRPr="00C5238F">
        <w:rPr>
          <w:rFonts w:ascii="Century Gothic" w:hAnsi="Century Gothic"/>
          <w:b/>
          <w:sz w:val="22"/>
        </w:rPr>
        <w:t>Staff Members</w:t>
      </w:r>
      <w:r w:rsidRPr="00C5238F">
        <w:rPr>
          <w:rFonts w:ascii="Century Gothic" w:hAnsi="Century Gothic"/>
          <w:sz w:val="22"/>
        </w:rPr>
        <w:t xml:space="preserve"> – A per diem basis is utilized for out-of-town meals.  The per diem policy is based on a non-accountable plan.  Each staff member is allotted $</w:t>
      </w:r>
      <w:r>
        <w:rPr>
          <w:rFonts w:ascii="Century Gothic" w:hAnsi="Century Gothic"/>
          <w:sz w:val="22"/>
        </w:rPr>
        <w:t>50</w:t>
      </w:r>
      <w:r w:rsidRPr="00C5238F">
        <w:rPr>
          <w:rFonts w:ascii="Century Gothic" w:hAnsi="Century Gothic"/>
          <w:sz w:val="22"/>
        </w:rPr>
        <w:t xml:space="preserve"> per day for meals.  Substantiation is not required. </w:t>
      </w:r>
    </w:p>
    <w:p w14:paraId="17C14005" w14:textId="77777777" w:rsidR="00F04190" w:rsidRPr="00C5238F" w:rsidRDefault="00F04190" w:rsidP="00F04190">
      <w:pPr>
        <w:spacing w:after="0" w:line="259" w:lineRule="auto"/>
        <w:ind w:left="1440" w:right="0" w:firstLine="0"/>
        <w:jc w:val="left"/>
        <w:rPr>
          <w:rFonts w:ascii="Century Gothic" w:hAnsi="Century Gothic"/>
          <w:sz w:val="22"/>
        </w:rPr>
      </w:pPr>
      <w:r w:rsidRPr="00C5238F">
        <w:rPr>
          <w:rFonts w:ascii="Century Gothic" w:hAnsi="Century Gothic"/>
          <w:sz w:val="22"/>
        </w:rPr>
        <w:t xml:space="preserve"> </w:t>
      </w:r>
    </w:p>
    <w:p w14:paraId="6BC1CCB1" w14:textId="77777777" w:rsidR="00F04190" w:rsidRPr="00C5238F" w:rsidRDefault="00F04190" w:rsidP="00F04190">
      <w:pPr>
        <w:ind w:left="1440" w:right="0"/>
        <w:rPr>
          <w:rFonts w:ascii="Century Gothic" w:hAnsi="Century Gothic"/>
          <w:sz w:val="22"/>
        </w:rPr>
      </w:pPr>
      <w:r w:rsidRPr="00C5238F">
        <w:rPr>
          <w:rFonts w:ascii="Century Gothic" w:hAnsi="Century Gothic"/>
          <w:b/>
          <w:sz w:val="22"/>
        </w:rPr>
        <w:t>Managers</w:t>
      </w:r>
      <w:r w:rsidRPr="00C5238F">
        <w:rPr>
          <w:rFonts w:ascii="Century Gothic" w:hAnsi="Century Gothic"/>
          <w:sz w:val="22"/>
        </w:rPr>
        <w:t xml:space="preserve"> – Meal expense reimbursement is based on an accountable plan; therefore, receipts and expense reports must be submitted in order to receive reimbursement. </w:t>
      </w:r>
    </w:p>
    <w:p w14:paraId="04D6A115" w14:textId="77777777" w:rsidR="00F04190" w:rsidRPr="00C5238F" w:rsidRDefault="00F04190" w:rsidP="00F04190">
      <w:pPr>
        <w:spacing w:after="0" w:line="259" w:lineRule="auto"/>
        <w:ind w:left="1440" w:right="0" w:firstLine="0"/>
        <w:jc w:val="left"/>
        <w:rPr>
          <w:rFonts w:ascii="Century Gothic" w:hAnsi="Century Gothic"/>
          <w:sz w:val="22"/>
        </w:rPr>
      </w:pPr>
      <w:r w:rsidRPr="00C5238F">
        <w:rPr>
          <w:rFonts w:ascii="Century Gothic" w:hAnsi="Century Gothic"/>
          <w:sz w:val="22"/>
        </w:rPr>
        <w:t xml:space="preserve"> </w:t>
      </w:r>
    </w:p>
    <w:p w14:paraId="38EE62FE" w14:textId="77777777" w:rsidR="00F04190" w:rsidRPr="00C5238F" w:rsidRDefault="00F04190" w:rsidP="00F04190">
      <w:pPr>
        <w:spacing w:line="259" w:lineRule="auto"/>
        <w:ind w:left="1440" w:right="0"/>
        <w:jc w:val="left"/>
        <w:rPr>
          <w:rFonts w:ascii="Century Gothic" w:hAnsi="Century Gothic"/>
          <w:sz w:val="22"/>
        </w:rPr>
      </w:pPr>
      <w:r w:rsidRPr="00C5238F">
        <w:rPr>
          <w:rFonts w:ascii="Century Gothic" w:hAnsi="Century Gothic"/>
          <w:b/>
          <w:sz w:val="22"/>
        </w:rPr>
        <w:t xml:space="preserve">Mileage </w:t>
      </w:r>
    </w:p>
    <w:p w14:paraId="47C14C90" w14:textId="77777777" w:rsidR="00F04190" w:rsidRDefault="00F04190" w:rsidP="00F04190">
      <w:pPr>
        <w:ind w:left="1440" w:right="0" w:hanging="1260"/>
        <w:rPr>
          <w:rFonts w:ascii="Century Gothic" w:hAnsi="Century Gothic"/>
          <w:sz w:val="22"/>
        </w:rPr>
      </w:pPr>
      <w:r w:rsidRPr="00C5238F">
        <w:rPr>
          <w:rFonts w:ascii="Century Gothic" w:hAnsi="Century Gothic"/>
          <w:sz w:val="22"/>
        </w:rPr>
        <w:t xml:space="preserve"> </w:t>
      </w:r>
      <w:r w:rsidRPr="00C5238F">
        <w:rPr>
          <w:rFonts w:ascii="Century Gothic" w:hAnsi="Century Gothic"/>
          <w:sz w:val="22"/>
        </w:rPr>
        <w:tab/>
      </w:r>
    </w:p>
    <w:p w14:paraId="5AFC3C44" w14:textId="17A59E94" w:rsidR="00F04190" w:rsidRPr="00C5238F" w:rsidRDefault="00F04190" w:rsidP="00F04190">
      <w:pPr>
        <w:ind w:left="1440" w:right="0"/>
        <w:rPr>
          <w:rFonts w:ascii="Century Gothic" w:hAnsi="Century Gothic"/>
          <w:sz w:val="22"/>
        </w:rPr>
      </w:pPr>
      <w:r w:rsidRPr="00C5238F">
        <w:rPr>
          <w:rFonts w:ascii="Century Gothic" w:hAnsi="Century Gothic"/>
          <w:sz w:val="22"/>
        </w:rPr>
        <w:t>Mileage for all Firm employees is paid at the federal mileage and rate based on actual miles traveled plus tolls and parking fees required. When multiple employees are working together at a client, carpooling is required unless otherwise approved by the partner-in charge. Expense reimbursement will be limited to the equivalent of one-round trip.  If the staff member usually drives to work, reimbursement will be reduced by the round</w:t>
      </w:r>
      <w:r>
        <w:rPr>
          <w:rFonts w:ascii="Century Gothic" w:hAnsi="Century Gothic"/>
          <w:sz w:val="22"/>
        </w:rPr>
        <w:t>-</w:t>
      </w:r>
      <w:r w:rsidRPr="00C5238F">
        <w:rPr>
          <w:rFonts w:ascii="Century Gothic" w:hAnsi="Century Gothic"/>
          <w:sz w:val="22"/>
        </w:rPr>
        <w:t xml:space="preserve">trip mileage between home and the Firm's office. In the case of local parking fees, the staff member will be reimbursed only for reasonable charges. </w:t>
      </w:r>
    </w:p>
    <w:p w14:paraId="19A0E502" w14:textId="77777777" w:rsidR="00F04190" w:rsidRPr="00C5238F" w:rsidRDefault="00F04190" w:rsidP="00F04190">
      <w:pPr>
        <w:tabs>
          <w:tab w:val="center" w:pos="1687"/>
        </w:tabs>
        <w:spacing w:line="259" w:lineRule="auto"/>
        <w:ind w:left="0" w:right="0" w:firstLine="0"/>
        <w:jc w:val="left"/>
        <w:rPr>
          <w:rFonts w:ascii="Century Gothic" w:hAnsi="Century Gothic"/>
          <w:b/>
          <w:sz w:val="22"/>
        </w:rPr>
      </w:pPr>
      <w:r w:rsidRPr="00C5238F">
        <w:rPr>
          <w:rFonts w:ascii="Century Gothic" w:hAnsi="Century Gothic"/>
          <w:b/>
          <w:sz w:val="22"/>
        </w:rPr>
        <w:t xml:space="preserve"> </w:t>
      </w:r>
      <w:r w:rsidRPr="00C5238F">
        <w:rPr>
          <w:rFonts w:ascii="Century Gothic" w:hAnsi="Century Gothic"/>
          <w:b/>
          <w:sz w:val="22"/>
        </w:rPr>
        <w:tab/>
      </w:r>
    </w:p>
    <w:p w14:paraId="22F4B45B" w14:textId="77777777" w:rsidR="00F04190" w:rsidRDefault="00F04190" w:rsidP="00F04190">
      <w:pPr>
        <w:tabs>
          <w:tab w:val="center" w:pos="1687"/>
        </w:tabs>
        <w:spacing w:line="259" w:lineRule="auto"/>
        <w:ind w:left="1440" w:right="0" w:firstLine="0"/>
        <w:jc w:val="left"/>
        <w:rPr>
          <w:rFonts w:ascii="Century Gothic" w:hAnsi="Century Gothic"/>
          <w:b/>
          <w:sz w:val="22"/>
        </w:rPr>
      </w:pPr>
      <w:r w:rsidRPr="00C5238F">
        <w:rPr>
          <w:rFonts w:ascii="Century Gothic" w:hAnsi="Century Gothic"/>
          <w:b/>
          <w:sz w:val="22"/>
        </w:rPr>
        <w:tab/>
      </w:r>
    </w:p>
    <w:p w14:paraId="46B4E653" w14:textId="77777777" w:rsidR="00F04190" w:rsidRDefault="00F04190" w:rsidP="00F04190">
      <w:pPr>
        <w:tabs>
          <w:tab w:val="center" w:pos="1687"/>
        </w:tabs>
        <w:spacing w:line="259" w:lineRule="auto"/>
        <w:ind w:left="1440" w:right="0" w:firstLine="0"/>
        <w:jc w:val="left"/>
        <w:rPr>
          <w:rFonts w:ascii="Century Gothic" w:hAnsi="Century Gothic"/>
          <w:b/>
          <w:sz w:val="22"/>
        </w:rPr>
      </w:pPr>
    </w:p>
    <w:p w14:paraId="60F7D278" w14:textId="77777777" w:rsidR="00F04190" w:rsidRDefault="00F04190" w:rsidP="00F04190">
      <w:pPr>
        <w:tabs>
          <w:tab w:val="center" w:pos="1687"/>
        </w:tabs>
        <w:spacing w:line="259" w:lineRule="auto"/>
        <w:ind w:left="1440" w:right="0" w:firstLine="0"/>
        <w:jc w:val="left"/>
        <w:rPr>
          <w:rFonts w:ascii="Century Gothic" w:hAnsi="Century Gothic"/>
          <w:b/>
          <w:sz w:val="22"/>
        </w:rPr>
      </w:pPr>
    </w:p>
    <w:p w14:paraId="513343FC" w14:textId="77777777" w:rsidR="00F04190" w:rsidRDefault="00F04190" w:rsidP="00F04190">
      <w:pPr>
        <w:tabs>
          <w:tab w:val="center" w:pos="1687"/>
        </w:tabs>
        <w:spacing w:line="259" w:lineRule="auto"/>
        <w:ind w:left="1440" w:right="0" w:firstLine="0"/>
        <w:jc w:val="left"/>
        <w:rPr>
          <w:rFonts w:ascii="Century Gothic" w:hAnsi="Century Gothic"/>
          <w:b/>
          <w:sz w:val="22"/>
        </w:rPr>
      </w:pPr>
    </w:p>
    <w:p w14:paraId="4C7E2B35" w14:textId="1E522A73" w:rsidR="00F04190" w:rsidRPr="00C5238F" w:rsidRDefault="00F04190" w:rsidP="00F04190">
      <w:pPr>
        <w:tabs>
          <w:tab w:val="center" w:pos="1687"/>
        </w:tabs>
        <w:spacing w:line="259" w:lineRule="auto"/>
        <w:ind w:left="1440" w:right="0" w:firstLine="0"/>
        <w:jc w:val="left"/>
        <w:rPr>
          <w:rFonts w:ascii="Century Gothic" w:hAnsi="Century Gothic"/>
          <w:b/>
          <w:sz w:val="22"/>
        </w:rPr>
      </w:pPr>
      <w:r w:rsidRPr="00C5238F">
        <w:rPr>
          <w:rFonts w:ascii="Century Gothic" w:hAnsi="Century Gothic"/>
          <w:b/>
          <w:sz w:val="22"/>
        </w:rPr>
        <w:t xml:space="preserve">Lodging </w:t>
      </w:r>
    </w:p>
    <w:p w14:paraId="1F4C73E9" w14:textId="77777777" w:rsidR="00F04190" w:rsidRPr="00C5238F" w:rsidRDefault="00F04190" w:rsidP="00F04190">
      <w:pPr>
        <w:spacing w:after="0" w:line="259" w:lineRule="auto"/>
        <w:ind w:left="1440" w:right="0" w:firstLine="0"/>
        <w:jc w:val="left"/>
        <w:rPr>
          <w:rFonts w:ascii="Century Gothic" w:hAnsi="Century Gothic"/>
          <w:sz w:val="22"/>
        </w:rPr>
      </w:pPr>
      <w:r w:rsidRPr="00C5238F">
        <w:rPr>
          <w:rFonts w:ascii="Century Gothic" w:hAnsi="Century Gothic"/>
          <w:sz w:val="22"/>
        </w:rPr>
        <w:t xml:space="preserve"> </w:t>
      </w:r>
    </w:p>
    <w:p w14:paraId="53077B73" w14:textId="365DFA78" w:rsidR="00F04190" w:rsidRPr="00C5238F" w:rsidRDefault="00F04190" w:rsidP="00F04190">
      <w:pPr>
        <w:ind w:left="1440" w:right="0" w:hanging="1260"/>
        <w:rPr>
          <w:rFonts w:ascii="Century Gothic" w:hAnsi="Century Gothic"/>
          <w:sz w:val="22"/>
        </w:rPr>
      </w:pPr>
      <w:r w:rsidRPr="00C5238F">
        <w:rPr>
          <w:rFonts w:ascii="Century Gothic" w:hAnsi="Century Gothic"/>
          <w:sz w:val="22"/>
        </w:rPr>
        <w:t xml:space="preserve"> </w:t>
      </w:r>
      <w:r w:rsidRPr="00C5238F">
        <w:rPr>
          <w:rFonts w:ascii="Century Gothic" w:hAnsi="Century Gothic"/>
          <w:sz w:val="22"/>
        </w:rPr>
        <w:tab/>
      </w:r>
      <w:r w:rsidRPr="00C5238F">
        <w:rPr>
          <w:rFonts w:ascii="Century Gothic" w:hAnsi="Century Gothic"/>
          <w:b/>
          <w:sz w:val="22"/>
        </w:rPr>
        <w:t>Staff Members and Managers</w:t>
      </w:r>
      <w:r w:rsidRPr="00C5238F">
        <w:rPr>
          <w:rFonts w:ascii="Century Gothic" w:hAnsi="Century Gothic"/>
          <w:sz w:val="22"/>
        </w:rPr>
        <w:t xml:space="preserve"> – Lodging reimbursement is based on an accountable plan.  Staff must submit receipts and expense report in order to receive reimbursement.  Lodging expenses greater </w:t>
      </w:r>
      <w:r w:rsidRPr="00F04190">
        <w:rPr>
          <w:rFonts w:ascii="Century Gothic" w:hAnsi="Century Gothic"/>
          <w:color w:val="auto"/>
          <w:sz w:val="22"/>
        </w:rPr>
        <w:t xml:space="preserve">than $150 per night </w:t>
      </w:r>
      <w:r w:rsidRPr="00C5238F">
        <w:rPr>
          <w:rFonts w:ascii="Century Gothic" w:hAnsi="Century Gothic"/>
          <w:sz w:val="22"/>
        </w:rPr>
        <w:t>(excluding taxes/fees) for hotels requires partner approva</w:t>
      </w:r>
      <w:r>
        <w:rPr>
          <w:rFonts w:ascii="Century Gothic" w:hAnsi="Century Gothic"/>
          <w:sz w:val="22"/>
        </w:rPr>
        <w:t>l.</w:t>
      </w:r>
    </w:p>
    <w:p w14:paraId="1C8FC9EF" w14:textId="77777777" w:rsidR="00F04190" w:rsidRDefault="00F04190" w:rsidP="00F04190">
      <w:pPr>
        <w:tabs>
          <w:tab w:val="center" w:pos="1803"/>
        </w:tabs>
        <w:spacing w:line="259" w:lineRule="auto"/>
        <w:ind w:left="1440" w:right="0" w:firstLine="0"/>
        <w:jc w:val="left"/>
        <w:rPr>
          <w:rFonts w:ascii="Century Gothic" w:hAnsi="Century Gothic"/>
          <w:sz w:val="22"/>
        </w:rPr>
      </w:pPr>
      <w:r w:rsidRPr="00C5238F">
        <w:rPr>
          <w:rFonts w:ascii="Century Gothic" w:hAnsi="Century Gothic"/>
          <w:sz w:val="22"/>
        </w:rPr>
        <w:tab/>
      </w:r>
    </w:p>
    <w:p w14:paraId="6117C165" w14:textId="4E5E8E8E" w:rsidR="00F04190" w:rsidRPr="00FC62C7" w:rsidRDefault="00F04190" w:rsidP="00F04190">
      <w:pPr>
        <w:tabs>
          <w:tab w:val="center" w:pos="1803"/>
        </w:tabs>
        <w:spacing w:line="259" w:lineRule="auto"/>
        <w:ind w:left="1440" w:right="0" w:firstLine="0"/>
        <w:jc w:val="left"/>
        <w:rPr>
          <w:rFonts w:ascii="Century Gothic" w:hAnsi="Century Gothic"/>
          <w:szCs w:val="24"/>
        </w:rPr>
      </w:pPr>
      <w:r w:rsidRPr="00FC62C7">
        <w:rPr>
          <w:rFonts w:ascii="Century Gothic" w:hAnsi="Century Gothic"/>
          <w:b/>
          <w:szCs w:val="24"/>
        </w:rPr>
        <w:t xml:space="preserve">Air Travel </w:t>
      </w:r>
    </w:p>
    <w:p w14:paraId="5FB4C9A1" w14:textId="77777777" w:rsidR="00F04190" w:rsidRPr="00C5238F" w:rsidRDefault="00F04190" w:rsidP="00F04190">
      <w:pPr>
        <w:ind w:left="1440" w:right="0" w:firstLine="0"/>
        <w:rPr>
          <w:rFonts w:ascii="Century Gothic" w:hAnsi="Century Gothic"/>
          <w:sz w:val="22"/>
        </w:rPr>
      </w:pPr>
      <w:r w:rsidRPr="00C5238F">
        <w:rPr>
          <w:rFonts w:ascii="Century Gothic" w:hAnsi="Century Gothic"/>
          <w:sz w:val="22"/>
        </w:rPr>
        <w:t xml:space="preserve">Air travel expenses for all Firm employees will be reimbursed on an accountable plan; therefore, receipts and expense reports must be submitted in order to receive reimbursement. </w:t>
      </w:r>
    </w:p>
    <w:p w14:paraId="35A809F8" w14:textId="77777777" w:rsidR="00F04190" w:rsidRPr="00C5238F" w:rsidRDefault="00F04190" w:rsidP="00F04190">
      <w:pPr>
        <w:spacing w:after="47" w:line="259" w:lineRule="auto"/>
        <w:ind w:left="0" w:right="0" w:firstLine="0"/>
        <w:jc w:val="left"/>
        <w:rPr>
          <w:rFonts w:ascii="Century Gothic" w:hAnsi="Century Gothic"/>
          <w:sz w:val="22"/>
        </w:rPr>
      </w:pPr>
      <w:r w:rsidRPr="00C5238F">
        <w:rPr>
          <w:rFonts w:ascii="Century Gothic" w:hAnsi="Century Gothic"/>
          <w:sz w:val="22"/>
        </w:rPr>
        <w:t xml:space="preserve"> </w:t>
      </w:r>
    </w:p>
    <w:p w14:paraId="5BBF9DD7" w14:textId="77777777" w:rsidR="00D82AE1" w:rsidRDefault="00D82AE1"/>
    <w:sectPr w:rsidR="00D82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3148ED"/>
    <w:multiLevelType w:val="hybridMultilevel"/>
    <w:tmpl w:val="76A86954"/>
    <w:lvl w:ilvl="0" w:tplc="04090001">
      <w:start w:val="1"/>
      <w:numFmt w:val="bullet"/>
      <w:lvlText w:val=""/>
      <w:lvlJc w:val="left"/>
      <w:pPr>
        <w:ind w:left="1421" w:hanging="360"/>
      </w:pPr>
      <w:rPr>
        <w:rFonts w:ascii="Symbol" w:hAnsi="Symbol" w:hint="default"/>
      </w:rPr>
    </w:lvl>
    <w:lvl w:ilvl="1" w:tplc="04090003">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90"/>
    <w:rsid w:val="00D82AE1"/>
    <w:rsid w:val="00E47BF4"/>
    <w:rsid w:val="00F0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9D9C"/>
  <w15:chartTrackingRefBased/>
  <w15:docId w15:val="{787385AF-6536-443E-9389-86C13D2D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90"/>
    <w:pPr>
      <w:spacing w:after="3" w:line="248" w:lineRule="auto"/>
      <w:ind w:left="10" w:right="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Manning</dc:creator>
  <cp:keywords/>
  <dc:description/>
  <cp:lastModifiedBy>Christina</cp:lastModifiedBy>
  <cp:revision>2</cp:revision>
  <dcterms:created xsi:type="dcterms:W3CDTF">2020-09-14T19:28:00Z</dcterms:created>
  <dcterms:modified xsi:type="dcterms:W3CDTF">2020-09-16T16:29:00Z</dcterms:modified>
</cp:coreProperties>
</file>